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259" w:rsidRPr="00AC5DC4" w:rsidRDefault="00B04259" w:rsidP="0023042A">
      <w:pPr>
        <w:tabs>
          <w:tab w:val="left" w:pos="8647"/>
          <w:tab w:val="left" w:pos="8789"/>
          <w:tab w:val="left" w:pos="8931"/>
        </w:tabs>
        <w:spacing w:line="260" w:lineRule="exact"/>
        <w:ind w:firstLineChars="100" w:firstLine="193"/>
        <w:jc w:val="left"/>
        <w:rPr>
          <w:rFonts w:ascii="ＭＳ 明朝" w:hAnsi="ＭＳ 明朝"/>
          <w:szCs w:val="21"/>
        </w:rPr>
      </w:pPr>
      <w:bookmarkStart w:id="0" w:name="_GoBack"/>
      <w:bookmarkEnd w:id="0"/>
      <w:r w:rsidRPr="00AC5DC4">
        <w:rPr>
          <w:rFonts w:ascii="ＭＳ 明朝" w:hAnsi="ＭＳ 明朝" w:hint="eastAsia"/>
          <w:szCs w:val="21"/>
        </w:rPr>
        <w:t>第３７号様式</w:t>
      </w:r>
      <w:r w:rsidR="00A17B8F" w:rsidRPr="00AC5DC4">
        <w:rPr>
          <w:rFonts w:ascii="ＭＳ 明朝" w:hAnsi="ＭＳ 明朝" w:hint="eastAsia"/>
          <w:szCs w:val="21"/>
        </w:rPr>
        <w:t>(</w:t>
      </w:r>
      <w:r w:rsidRPr="00AC5DC4">
        <w:rPr>
          <w:rFonts w:ascii="ＭＳ 明朝" w:hAnsi="ＭＳ 明朝" w:hint="eastAsia"/>
          <w:szCs w:val="21"/>
        </w:rPr>
        <w:t>第３条関係</w:t>
      </w:r>
      <w:r w:rsidR="00A17B8F" w:rsidRPr="00AC5DC4">
        <w:rPr>
          <w:rFonts w:ascii="ＭＳ 明朝" w:hAnsi="ＭＳ 明朝" w:hint="eastAsia"/>
          <w:szCs w:val="21"/>
        </w:rPr>
        <w:t>)</w:t>
      </w:r>
    </w:p>
    <w:p w:rsidR="00E036B6" w:rsidRPr="00AC5DC4" w:rsidRDefault="00E036B6" w:rsidP="00E036B6">
      <w:pPr>
        <w:spacing w:line="0" w:lineRule="atLeast"/>
        <w:jc w:val="center"/>
        <w:rPr>
          <w:rFonts w:asciiTheme="majorEastAsia" w:eastAsiaTheme="majorEastAsia" w:hAnsiTheme="majorEastAsia"/>
          <w:b/>
          <w:szCs w:val="21"/>
        </w:rPr>
      </w:pPr>
      <w:r w:rsidRPr="00AC5DC4">
        <w:rPr>
          <w:rFonts w:asciiTheme="majorEastAsia" w:eastAsiaTheme="majorEastAsia" w:hAnsiTheme="majorEastAsia" w:hint="eastAsia"/>
          <w:b/>
          <w:szCs w:val="21"/>
        </w:rPr>
        <w:t>景観チェックシート②【地域区分：川とまちの地域】</w:t>
      </w:r>
    </w:p>
    <w:p w:rsidR="00E036B6" w:rsidRPr="00AC5DC4" w:rsidRDefault="00E036B6" w:rsidP="00E036B6">
      <w:pPr>
        <w:wordWrap w:val="0"/>
        <w:jc w:val="right"/>
        <w:rPr>
          <w:rFonts w:ascii="ＭＳ 明朝" w:hAnsi="ＭＳ 明朝"/>
          <w:szCs w:val="21"/>
        </w:rPr>
      </w:pPr>
      <w:r w:rsidRPr="00AC5DC4">
        <w:rPr>
          <w:rFonts w:ascii="ＭＳ 明朝" w:hAnsi="ＭＳ 明朝" w:hint="eastAsia"/>
          <w:szCs w:val="21"/>
        </w:rPr>
        <w:t>行為者(　　　　　　　　　　　　　　　　　　　　　　　　　)</w:t>
      </w:r>
    </w:p>
    <w:p w:rsidR="00B03FF6" w:rsidRPr="00AC5DC4" w:rsidRDefault="00B04259" w:rsidP="00B03FF6">
      <w:pPr>
        <w:tabs>
          <w:tab w:val="left" w:pos="8647"/>
          <w:tab w:val="left" w:pos="8789"/>
          <w:tab w:val="left" w:pos="8931"/>
        </w:tabs>
        <w:spacing w:line="260" w:lineRule="exact"/>
        <w:jc w:val="left"/>
        <w:rPr>
          <w:rFonts w:asciiTheme="majorEastAsia" w:eastAsiaTheme="majorEastAsia" w:hAnsiTheme="majorEastAsia"/>
          <w:b/>
          <w:szCs w:val="21"/>
        </w:rPr>
      </w:pPr>
      <w:r w:rsidRPr="00AC5DC4">
        <w:rPr>
          <w:rFonts w:asciiTheme="majorEastAsia" w:eastAsiaTheme="majorEastAsia" w:hAnsiTheme="majorEastAsia" w:hint="eastAsia"/>
          <w:b/>
          <w:szCs w:val="21"/>
        </w:rPr>
        <w:t>＜景観形成の方針＞</w:t>
      </w:r>
    </w:p>
    <w:p w:rsidR="00B04259" w:rsidRPr="00AC5DC4" w:rsidRDefault="00B04259" w:rsidP="00B03FF6">
      <w:pPr>
        <w:tabs>
          <w:tab w:val="left" w:pos="8647"/>
          <w:tab w:val="left" w:pos="8789"/>
          <w:tab w:val="left" w:pos="8931"/>
        </w:tabs>
        <w:spacing w:line="260" w:lineRule="exact"/>
        <w:ind w:firstLineChars="100" w:firstLine="193"/>
        <w:jc w:val="left"/>
        <w:rPr>
          <w:rFonts w:asciiTheme="majorEastAsia" w:eastAsiaTheme="majorEastAsia" w:hAnsiTheme="majorEastAsia"/>
          <w:b/>
          <w:szCs w:val="21"/>
        </w:rPr>
      </w:pPr>
      <w:r w:rsidRPr="00AC5DC4">
        <w:rPr>
          <w:rFonts w:ascii="ＭＳ 明朝" w:hAnsi="ＭＳ 明朝" w:hint="eastAsia"/>
          <w:szCs w:val="21"/>
        </w:rPr>
        <w:t>河川や斜面緑地、農地などの多様な自然的景観資源と市街地が近接する地域特性を生かし、豊かな自然環境が織り込まれた、</w:t>
      </w:r>
      <w:r w:rsidR="00CD6DC7" w:rsidRPr="00AC5DC4">
        <w:rPr>
          <w:rFonts w:ascii="ＭＳ 明朝" w:hAnsi="ＭＳ 明朝" w:hint="eastAsia"/>
          <w:szCs w:val="21"/>
        </w:rPr>
        <w:t>潤い</w:t>
      </w:r>
      <w:r w:rsidRPr="00AC5DC4">
        <w:rPr>
          <w:rFonts w:ascii="ＭＳ 明朝" w:hAnsi="ＭＳ 明朝" w:hint="eastAsia"/>
          <w:szCs w:val="21"/>
        </w:rPr>
        <w:t>のある田園景観を目指します。</w:t>
      </w:r>
    </w:p>
    <w:p w:rsidR="00B04259" w:rsidRPr="00AC5DC4" w:rsidRDefault="00B04259" w:rsidP="002C3BD9">
      <w:pPr>
        <w:tabs>
          <w:tab w:val="left" w:pos="8647"/>
          <w:tab w:val="left" w:pos="8789"/>
          <w:tab w:val="left" w:pos="8931"/>
        </w:tabs>
        <w:spacing w:line="260" w:lineRule="exact"/>
        <w:rPr>
          <w:rFonts w:ascii="ＭＳ 明朝" w:hAnsi="ＭＳ 明朝"/>
          <w:szCs w:val="21"/>
        </w:rPr>
      </w:pPr>
    </w:p>
    <w:p w:rsidR="00B04259" w:rsidRPr="00AC5DC4" w:rsidRDefault="00B04259" w:rsidP="00B03FF6">
      <w:pPr>
        <w:tabs>
          <w:tab w:val="left" w:pos="8647"/>
          <w:tab w:val="left" w:pos="8789"/>
          <w:tab w:val="left" w:pos="8931"/>
        </w:tabs>
        <w:spacing w:line="260" w:lineRule="exact"/>
        <w:rPr>
          <w:rFonts w:asciiTheme="majorEastAsia" w:eastAsiaTheme="majorEastAsia" w:hAnsiTheme="majorEastAsia"/>
          <w:szCs w:val="21"/>
        </w:rPr>
      </w:pPr>
      <w:r w:rsidRPr="00AC5DC4">
        <w:rPr>
          <w:rFonts w:asciiTheme="majorEastAsia" w:eastAsiaTheme="majorEastAsia" w:hAnsiTheme="majorEastAsia" w:hint="eastAsia"/>
          <w:b/>
          <w:szCs w:val="21"/>
        </w:rPr>
        <w:t>＜建築物の景観誘導指針＞</w:t>
      </w:r>
    </w:p>
    <w:tbl>
      <w:tblPr>
        <w:tblW w:w="48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
        <w:gridCol w:w="770"/>
        <w:gridCol w:w="4174"/>
        <w:gridCol w:w="586"/>
        <w:gridCol w:w="588"/>
        <w:gridCol w:w="2278"/>
      </w:tblGrid>
      <w:tr w:rsidR="008E667F" w:rsidRPr="00AC5DC4" w:rsidTr="00BA18BE">
        <w:trPr>
          <w:trHeight w:val="317"/>
          <w:jc w:val="center"/>
        </w:trPr>
        <w:tc>
          <w:tcPr>
            <w:tcW w:w="681" w:type="pct"/>
            <w:gridSpan w:val="2"/>
            <w:vMerge w:val="restart"/>
            <w:tcBorders>
              <w:top w:val="single" w:sz="4" w:space="0" w:color="auto"/>
              <w:left w:val="single" w:sz="4" w:space="0" w:color="auto"/>
              <w:right w:val="single" w:sz="4" w:space="0" w:color="auto"/>
            </w:tcBorders>
            <w:vAlign w:val="center"/>
          </w:tcPr>
          <w:p w:rsidR="00BA18BE" w:rsidRPr="00AC5DC4" w:rsidRDefault="004D3238" w:rsidP="00BA18BE">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項目</w:t>
            </w:r>
          </w:p>
        </w:tc>
        <w:tc>
          <w:tcPr>
            <w:tcW w:w="2364" w:type="pct"/>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配慮事項</w:t>
            </w:r>
          </w:p>
        </w:tc>
        <w:tc>
          <w:tcPr>
            <w:tcW w:w="665" w:type="pct"/>
            <w:gridSpan w:val="2"/>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該当の有無</w:t>
            </w:r>
          </w:p>
        </w:tc>
        <w:tc>
          <w:tcPr>
            <w:tcW w:w="1290" w:type="pct"/>
            <w:vMerge w:val="restart"/>
            <w:tcBorders>
              <w:top w:val="single" w:sz="4" w:space="0" w:color="auto"/>
              <w:left w:val="single" w:sz="4" w:space="0" w:color="auto"/>
              <w:right w:val="single" w:sz="4" w:space="0" w:color="auto"/>
            </w:tcBorders>
            <w:vAlign w:val="center"/>
          </w:tcPr>
          <w:p w:rsidR="004D3238" w:rsidRPr="00AC5DC4" w:rsidRDefault="004D3238" w:rsidP="00BA18BE">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景観形成のために配慮した事項</w:t>
            </w:r>
          </w:p>
        </w:tc>
      </w:tr>
      <w:tr w:rsidR="008E667F" w:rsidRPr="00AC5DC4" w:rsidTr="00BA18BE">
        <w:trPr>
          <w:trHeight w:val="317"/>
          <w:jc w:val="center"/>
        </w:trPr>
        <w:tc>
          <w:tcPr>
            <w:tcW w:w="681" w:type="pct"/>
            <w:gridSpan w:val="2"/>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4" w:type="pct"/>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32" w:type="pct"/>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有り</w:t>
            </w:r>
          </w:p>
        </w:tc>
        <w:tc>
          <w:tcPr>
            <w:tcW w:w="333" w:type="pct"/>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無し</w:t>
            </w:r>
          </w:p>
        </w:tc>
        <w:tc>
          <w:tcPr>
            <w:tcW w:w="1290" w:type="pct"/>
            <w:vMerge/>
            <w:tcBorders>
              <w:left w:val="single" w:sz="4" w:space="0" w:color="auto"/>
              <w:bottom w:val="single" w:sz="4" w:space="0" w:color="auto"/>
              <w:right w:val="single" w:sz="4" w:space="0" w:color="auto"/>
            </w:tcBorders>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419"/>
          <w:jc w:val="center"/>
        </w:trPr>
        <w:tc>
          <w:tcPr>
            <w:tcW w:w="681" w:type="pct"/>
            <w:gridSpan w:val="2"/>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①共通誘導指針</w:t>
            </w:r>
          </w:p>
        </w:tc>
        <w:tc>
          <w:tcPr>
            <w:tcW w:w="2364" w:type="pct"/>
            <w:tcBorders>
              <w:top w:val="single" w:sz="4" w:space="0" w:color="auto"/>
              <w:left w:val="single" w:sz="4" w:space="0" w:color="auto"/>
              <w:bottom w:val="single" w:sz="4" w:space="0" w:color="auto"/>
              <w:right w:val="single" w:sz="4" w:space="0" w:color="auto"/>
            </w:tcBorders>
          </w:tcPr>
          <w:p w:rsidR="004D3238" w:rsidRPr="00AC5DC4" w:rsidRDefault="004D3238" w:rsidP="002C3BD9">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低層の住宅地では、屋根の形状や素材及び色彩を落ち着いたものとし、豊かなみどりと水に調和したまちなみ景観とする。</w:t>
            </w:r>
          </w:p>
        </w:tc>
        <w:tc>
          <w:tcPr>
            <w:tcW w:w="332"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4D3238"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413"/>
          <w:jc w:val="center"/>
        </w:trPr>
        <w:tc>
          <w:tcPr>
            <w:tcW w:w="681"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工業地では、周辺の住宅地に配慮し、緑地帯の設置や明るく親しみの持てる景観とする。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394"/>
          <w:jc w:val="center"/>
        </w:trPr>
        <w:tc>
          <w:tcPr>
            <w:tcW w:w="681"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斜面緑地や相模川沿いからの眺望を大切にしたまちなみ景観とする。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555"/>
          <w:jc w:val="center"/>
        </w:trPr>
        <w:tc>
          <w:tcPr>
            <w:tcW w:w="681"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斜面緑地周辺では、斜面緑地のみどりのスカイラインを分断しないよう配慮する。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825"/>
          <w:jc w:val="center"/>
        </w:trPr>
        <w:tc>
          <w:tcPr>
            <w:tcW w:w="681"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相模川沿いに点在する歴史的資源である勝坂遺跡、田名向原遺跡や無量光寺等や地域での祭りなど、歴史・文化を生かした景観形成に努める。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619"/>
          <w:jc w:val="center"/>
        </w:trPr>
        <w:tc>
          <w:tcPr>
            <w:tcW w:w="681" w:type="pct"/>
            <w:gridSpan w:val="2"/>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新たな景観拠点では、都市基盤の整備に併せ、地区計画等の活用など、周辺の自然環境と調和した景観の創出に努める。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70"/>
          <w:jc w:val="center"/>
        </w:trPr>
        <w:tc>
          <w:tcPr>
            <w:tcW w:w="245" w:type="pct"/>
            <w:vMerge w:val="restart"/>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②個別指針</w:t>
            </w:r>
          </w:p>
        </w:tc>
        <w:tc>
          <w:tcPr>
            <w:tcW w:w="436"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配置</w:t>
            </w: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工業地では、壁面後退するなど、緩衝帯の創出に努める。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427"/>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眺望の場からの景色を阻害しないよう、建築物の配置等に配慮する。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321"/>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形態</w:t>
            </w:r>
          </w:p>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r w:rsidRPr="00AC5DC4">
              <w:rPr>
                <w:rFonts w:ascii="ＭＳ 明朝" w:hAnsi="ＭＳ 明朝" w:hint="eastAsia"/>
                <w:sz w:val="20"/>
                <w:szCs w:val="20"/>
              </w:rPr>
              <w:t>・</w:t>
            </w: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意匠</w:t>
            </w: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住宅地では、勾配屋根のまちなみの連続性に配慮する。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287"/>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工場、倉庫等の大規模な屋根や壁面は、光を強く反射する素材は避ける。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423"/>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高層建築物は、眺望の場からの見え方に配慮したシルエットとするよう努める。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570"/>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歴史・文化が感じられる地域では、それらの景観資源を生かした意匠や素材の活用に努める。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1158"/>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建築設備等は、できるだけ屋上へ設置しないよう努める。なお、屋上に設置する場合は、建築物と一体的なデザインとする。又はルーバー等で覆うなど景観を損なわないように配慮する。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DD69F3">
        <w:trPr>
          <w:trHeight w:val="734"/>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val="restart"/>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色彩</w:t>
            </w: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lastRenderedPageBreak/>
              <w:t>住宅地の外壁は、暖かく落ち着きのある暖色系色相の低・中彩度色を基本とし、樹林地の周辺などでは、</w:t>
            </w:r>
            <w:r w:rsidRPr="00AC5DC4">
              <w:rPr>
                <w:rFonts w:ascii="ＭＳ 明朝" w:hAnsi="ＭＳ 明朝"/>
                <w:sz w:val="20"/>
                <w:szCs w:val="20"/>
              </w:rPr>
              <w:t>周囲から突出しやすい高明度色は避ける。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551"/>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住宅地の屋根は、まちなみの連続性に配慮し、暖色系色相又は無彩色の低明度、低彩度色を基本とする。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960"/>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p>
        </w:tc>
        <w:tc>
          <w:tcPr>
            <w:tcW w:w="2364" w:type="pct"/>
            <w:tcBorders>
              <w:top w:val="single" w:sz="4" w:space="0" w:color="auto"/>
              <w:left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工業地では、施設相互の色彩を揃え、すっきりとした清潔感のある低彩度の色彩を基本とし、樹林地の周辺などでは、</w:t>
            </w:r>
            <w:r w:rsidRPr="00AC5DC4">
              <w:rPr>
                <w:rFonts w:ascii="ＭＳ 明朝" w:hAnsi="ＭＳ 明朝"/>
                <w:sz w:val="20"/>
                <w:szCs w:val="20"/>
              </w:rPr>
              <w:t>周囲から突出しやすい高明度色は避ける。</w:t>
            </w:r>
          </w:p>
        </w:tc>
        <w:tc>
          <w:tcPr>
            <w:tcW w:w="332" w:type="pc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915"/>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4" w:hangingChars="2" w:hanging="4"/>
              <w:rPr>
                <w:rFonts w:ascii="ＭＳ 明朝" w:hAnsi="ＭＳ 明朝"/>
                <w:sz w:val="20"/>
                <w:szCs w:val="20"/>
              </w:rPr>
            </w:pPr>
            <w:r w:rsidRPr="00AC5DC4">
              <w:rPr>
                <w:rFonts w:ascii="ＭＳ 明朝" w:hAnsi="ＭＳ 明朝" w:hint="eastAsia"/>
                <w:sz w:val="20"/>
                <w:szCs w:val="20"/>
              </w:rPr>
              <w:t>商業地では、周囲の自然や眺望景観から突出しないよう低彩度色又は暖色系色相の中彩度色を基本とし、樹林地の周辺などでは、</w:t>
            </w:r>
            <w:r w:rsidRPr="00AC5DC4">
              <w:rPr>
                <w:rFonts w:ascii="ＭＳ 明朝" w:hAnsi="ＭＳ 明朝"/>
                <w:sz w:val="20"/>
                <w:szCs w:val="20"/>
              </w:rPr>
              <w:t>周囲から突出しやすい高明度色は避ける。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518"/>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4" w:hangingChars="2" w:hanging="4"/>
              <w:rPr>
                <w:rFonts w:ascii="ＭＳ 明朝" w:hAnsi="ＭＳ 明朝"/>
                <w:sz w:val="20"/>
                <w:szCs w:val="20"/>
              </w:rPr>
            </w:pPr>
            <w:r w:rsidRPr="00AC5DC4">
              <w:rPr>
                <w:rFonts w:ascii="ＭＳ 明朝" w:hAnsi="ＭＳ 明朝" w:hint="eastAsia"/>
                <w:sz w:val="20"/>
                <w:szCs w:val="20"/>
              </w:rPr>
              <w:t>大規模な壁面等は、形態に応じて色彩の分節化を図るなど、威圧感の軽減に努める。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570"/>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4" w:hangingChars="2" w:hanging="4"/>
              <w:rPr>
                <w:rFonts w:ascii="ＭＳ 明朝" w:hAnsi="ＭＳ 明朝"/>
                <w:sz w:val="20"/>
                <w:szCs w:val="20"/>
              </w:rPr>
            </w:pPr>
            <w:r w:rsidRPr="00AC5DC4">
              <w:rPr>
                <w:rFonts w:ascii="ＭＳ 明朝" w:hAnsi="ＭＳ 明朝" w:hint="eastAsia"/>
                <w:sz w:val="20"/>
                <w:szCs w:val="20"/>
              </w:rPr>
              <w:t>アクセントカラーの使用は必要最小限とし、やむを得ず用いる場合は低層部に集約する。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600"/>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3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4" w:hangingChars="2" w:hanging="4"/>
              <w:rPr>
                <w:rFonts w:ascii="ＭＳ 明朝" w:hAnsi="ＭＳ 明朝"/>
                <w:sz w:val="20"/>
                <w:szCs w:val="20"/>
              </w:rPr>
            </w:pPr>
            <w:r w:rsidRPr="00AC5DC4">
              <w:rPr>
                <w:rFonts w:ascii="ＭＳ 明朝" w:hAnsi="ＭＳ 明朝" w:hint="eastAsia"/>
                <w:sz w:val="20"/>
                <w:szCs w:val="20"/>
              </w:rPr>
              <w:t>フェンス等の色彩は、こげ茶、グレーベージュ、黒、暗灰色など、暖色系色相の低明度、低彩度色又は無彩色の低明度色を基本とする。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DD69F3">
        <w:trPr>
          <w:trHeight w:val="236"/>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36"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緑化</w:t>
            </w:r>
          </w:p>
        </w:tc>
        <w:tc>
          <w:tcPr>
            <w:tcW w:w="236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住宅地では、積極的に生垣等の緑化に努める。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825"/>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36"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4" w:hangingChars="2" w:hanging="4"/>
              <w:rPr>
                <w:rFonts w:ascii="ＭＳ 明朝" w:hAnsi="ＭＳ 明朝"/>
                <w:sz w:val="20"/>
                <w:szCs w:val="20"/>
              </w:rPr>
            </w:pPr>
            <w:r w:rsidRPr="00AC5DC4">
              <w:rPr>
                <w:rFonts w:ascii="ＭＳ 明朝" w:hAnsi="ＭＳ 明朝" w:hint="eastAsia"/>
                <w:sz w:val="20"/>
                <w:szCs w:val="20"/>
              </w:rPr>
              <w:t>大規模な工場等では、中・高木による緑化を推進するとともに、エントランス周辺には、シンボルとなる樹木や花の演出に努める。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570"/>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36" w:type="pct"/>
            <w:vMerge w:val="restart"/>
            <w:tcBorders>
              <w:top w:val="single" w:sz="4" w:space="0" w:color="auto"/>
              <w:left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その他</w:t>
            </w: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4" w:hangingChars="2" w:hanging="4"/>
              <w:rPr>
                <w:rFonts w:ascii="ＭＳ 明朝" w:hAnsi="ＭＳ 明朝"/>
                <w:sz w:val="20"/>
                <w:szCs w:val="20"/>
              </w:rPr>
            </w:pPr>
            <w:r w:rsidRPr="00AC5DC4">
              <w:rPr>
                <w:rFonts w:ascii="ＭＳ 明朝" w:hAnsi="ＭＳ 明朝" w:hint="eastAsia"/>
                <w:sz w:val="20"/>
                <w:szCs w:val="20"/>
              </w:rPr>
              <w:t>屋外設備及び駐車場等の附属施設は、建築物と一体的なデザインとする。又は緑化等による修景に努める。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510"/>
          <w:jc w:val="center"/>
        </w:trPr>
        <w:tc>
          <w:tcPr>
            <w:tcW w:w="245"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36" w:type="pct"/>
            <w:vMerge/>
            <w:tcBorders>
              <w:top w:val="single" w:sz="4" w:space="0" w:color="auto"/>
              <w:left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4" w:hangingChars="2" w:hanging="4"/>
              <w:rPr>
                <w:rFonts w:ascii="ＭＳ 明朝" w:hAnsi="ＭＳ 明朝"/>
                <w:sz w:val="20"/>
                <w:szCs w:val="20"/>
              </w:rPr>
            </w:pPr>
            <w:r w:rsidRPr="00AC5DC4">
              <w:rPr>
                <w:rFonts w:ascii="ＭＳ 明朝" w:hAnsi="ＭＳ 明朝" w:hint="eastAsia"/>
                <w:sz w:val="20"/>
                <w:szCs w:val="20"/>
              </w:rPr>
              <w:t>道路沿いに塀等を設置する場合は、透視可能なフェンスや生垣を基本とする。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472"/>
          <w:jc w:val="center"/>
        </w:trPr>
        <w:tc>
          <w:tcPr>
            <w:tcW w:w="245" w:type="pct"/>
            <w:vMerge/>
            <w:tcBorders>
              <w:top w:val="nil"/>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36" w:type="pct"/>
            <w:vMerge/>
            <w:tcBorders>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236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過激な光の拡散や点滅するネオン等の使用は避ける。</w:t>
            </w:r>
          </w:p>
        </w:tc>
        <w:tc>
          <w:tcPr>
            <w:tcW w:w="33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33"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9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bl>
    <w:p w:rsidR="00B04259" w:rsidRPr="00AC5DC4" w:rsidRDefault="00B04259" w:rsidP="002C3BD9">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hint="eastAsia"/>
          <w:szCs w:val="21"/>
        </w:rPr>
        <w:t>備考</w:t>
      </w:r>
    </w:p>
    <w:p w:rsidR="00B04259" w:rsidRPr="00AC5DC4" w:rsidRDefault="00B04259" w:rsidP="00FA40BA">
      <w:pPr>
        <w:tabs>
          <w:tab w:val="left" w:pos="8647"/>
          <w:tab w:val="left" w:pos="8789"/>
          <w:tab w:val="left" w:pos="8931"/>
        </w:tabs>
        <w:autoSpaceDE w:val="0"/>
        <w:autoSpaceDN w:val="0"/>
        <w:adjustRightInd w:val="0"/>
        <w:spacing w:line="260" w:lineRule="exact"/>
        <w:ind w:firstLineChars="100" w:firstLine="193"/>
        <w:jc w:val="left"/>
        <w:rPr>
          <w:rFonts w:ascii="ＭＳ 明朝" w:hAnsi="ＭＳ 明朝"/>
          <w:szCs w:val="21"/>
          <w:lang w:eastAsia="zh-CN"/>
        </w:rPr>
      </w:pPr>
      <w:r w:rsidRPr="00AC5DC4">
        <w:rPr>
          <w:rFonts w:ascii="ＭＳ 明朝" w:hAnsi="ＭＳ 明朝" w:cs="ＭＳ明朝" w:hint="eastAsia"/>
          <w:kern w:val="0"/>
          <w:szCs w:val="21"/>
        </w:rPr>
        <w:t>該当する□にチェックしてください。</w:t>
      </w:r>
    </w:p>
    <w:p w:rsidR="00A80760" w:rsidRPr="00AC5DC4" w:rsidRDefault="00A80760" w:rsidP="00BF1986">
      <w:pPr>
        <w:tabs>
          <w:tab w:val="left" w:pos="8647"/>
          <w:tab w:val="left" w:pos="8789"/>
          <w:tab w:val="left" w:pos="8931"/>
        </w:tabs>
        <w:spacing w:line="260" w:lineRule="exact"/>
        <w:rPr>
          <w:rFonts w:ascii="ＭＳ 明朝" w:hAnsi="ＭＳ 明朝"/>
          <w:spacing w:val="14"/>
          <w:kern w:val="0"/>
          <w:szCs w:val="21"/>
        </w:rPr>
      </w:pPr>
    </w:p>
    <w:sectPr w:rsidR="00A80760" w:rsidRPr="00AC5DC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6B6" w:rsidRDefault="00E036B6">
      <w:r>
        <w:separator/>
      </w:r>
    </w:p>
  </w:endnote>
  <w:endnote w:type="continuationSeparator" w:id="0">
    <w:p w:rsidR="00E036B6" w:rsidRDefault="00E0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6B6" w:rsidRDefault="00E036B6"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036B6" w:rsidRDefault="00E036B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6B6" w:rsidRDefault="00E036B6">
      <w:r>
        <w:separator/>
      </w:r>
    </w:p>
  </w:footnote>
  <w:footnote w:type="continuationSeparator" w:id="0">
    <w:p w:rsidR="00E036B6" w:rsidRDefault="00E03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40D7"/>
    <w:rsid w:val="0003534E"/>
    <w:rsid w:val="000431EB"/>
    <w:rsid w:val="000442F2"/>
    <w:rsid w:val="000542C7"/>
    <w:rsid w:val="000555BC"/>
    <w:rsid w:val="00055B04"/>
    <w:rsid w:val="000570EF"/>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1F43B7"/>
    <w:rsid w:val="00201153"/>
    <w:rsid w:val="00205268"/>
    <w:rsid w:val="002052F0"/>
    <w:rsid w:val="00207623"/>
    <w:rsid w:val="00210DDA"/>
    <w:rsid w:val="002160B4"/>
    <w:rsid w:val="002164CF"/>
    <w:rsid w:val="002174F5"/>
    <w:rsid w:val="00217705"/>
    <w:rsid w:val="0023042A"/>
    <w:rsid w:val="00234CEB"/>
    <w:rsid w:val="00234F22"/>
    <w:rsid w:val="00245920"/>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80A"/>
    <w:rsid w:val="002E5E93"/>
    <w:rsid w:val="002F332A"/>
    <w:rsid w:val="00305F9B"/>
    <w:rsid w:val="003167A4"/>
    <w:rsid w:val="0032449F"/>
    <w:rsid w:val="00325932"/>
    <w:rsid w:val="00331EC8"/>
    <w:rsid w:val="00332BBA"/>
    <w:rsid w:val="003420E5"/>
    <w:rsid w:val="00342922"/>
    <w:rsid w:val="00342F06"/>
    <w:rsid w:val="003462AC"/>
    <w:rsid w:val="003467F3"/>
    <w:rsid w:val="00351B8E"/>
    <w:rsid w:val="00357B87"/>
    <w:rsid w:val="00361F5D"/>
    <w:rsid w:val="00372564"/>
    <w:rsid w:val="00374574"/>
    <w:rsid w:val="00382AA8"/>
    <w:rsid w:val="00386765"/>
    <w:rsid w:val="00390659"/>
    <w:rsid w:val="00391292"/>
    <w:rsid w:val="00397CCC"/>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2D0D"/>
    <w:rsid w:val="00566CA3"/>
    <w:rsid w:val="0057049A"/>
    <w:rsid w:val="0057747B"/>
    <w:rsid w:val="00577F49"/>
    <w:rsid w:val="00583065"/>
    <w:rsid w:val="0058448F"/>
    <w:rsid w:val="00586412"/>
    <w:rsid w:val="005866FC"/>
    <w:rsid w:val="00587CE7"/>
    <w:rsid w:val="0059155D"/>
    <w:rsid w:val="00595443"/>
    <w:rsid w:val="00597401"/>
    <w:rsid w:val="00597AD8"/>
    <w:rsid w:val="005B192E"/>
    <w:rsid w:val="005B5BE9"/>
    <w:rsid w:val="005C3575"/>
    <w:rsid w:val="005C447F"/>
    <w:rsid w:val="005C5D48"/>
    <w:rsid w:val="005D22ED"/>
    <w:rsid w:val="005E5F6F"/>
    <w:rsid w:val="005E62A9"/>
    <w:rsid w:val="005F3F2E"/>
    <w:rsid w:val="005F5691"/>
    <w:rsid w:val="00603B24"/>
    <w:rsid w:val="0062302E"/>
    <w:rsid w:val="00625BE3"/>
    <w:rsid w:val="00625FB3"/>
    <w:rsid w:val="00630A7D"/>
    <w:rsid w:val="00631B8B"/>
    <w:rsid w:val="006346E8"/>
    <w:rsid w:val="006354A0"/>
    <w:rsid w:val="00642483"/>
    <w:rsid w:val="00644F52"/>
    <w:rsid w:val="00646197"/>
    <w:rsid w:val="0065307C"/>
    <w:rsid w:val="00656F9A"/>
    <w:rsid w:val="00663ACB"/>
    <w:rsid w:val="00667BD2"/>
    <w:rsid w:val="006716D4"/>
    <w:rsid w:val="00671A24"/>
    <w:rsid w:val="00671DDD"/>
    <w:rsid w:val="006734F5"/>
    <w:rsid w:val="00673CBB"/>
    <w:rsid w:val="006767C8"/>
    <w:rsid w:val="00691015"/>
    <w:rsid w:val="006925F2"/>
    <w:rsid w:val="006A5C82"/>
    <w:rsid w:val="006C07D5"/>
    <w:rsid w:val="006C08FB"/>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3E0C"/>
    <w:rsid w:val="008C7B92"/>
    <w:rsid w:val="008D0444"/>
    <w:rsid w:val="008D115A"/>
    <w:rsid w:val="008D6D64"/>
    <w:rsid w:val="008D738F"/>
    <w:rsid w:val="008D76F3"/>
    <w:rsid w:val="008E05F3"/>
    <w:rsid w:val="008E667F"/>
    <w:rsid w:val="008F261C"/>
    <w:rsid w:val="008F4476"/>
    <w:rsid w:val="0090318E"/>
    <w:rsid w:val="009078C8"/>
    <w:rsid w:val="009111BC"/>
    <w:rsid w:val="009142FA"/>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31E7"/>
    <w:rsid w:val="009866CC"/>
    <w:rsid w:val="009873B6"/>
    <w:rsid w:val="00991552"/>
    <w:rsid w:val="0099430D"/>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32BB8"/>
    <w:rsid w:val="00A352D3"/>
    <w:rsid w:val="00A4070A"/>
    <w:rsid w:val="00A463B0"/>
    <w:rsid w:val="00A467BC"/>
    <w:rsid w:val="00A503A4"/>
    <w:rsid w:val="00A60D1A"/>
    <w:rsid w:val="00A63694"/>
    <w:rsid w:val="00A64B52"/>
    <w:rsid w:val="00A76648"/>
    <w:rsid w:val="00A76FFC"/>
    <w:rsid w:val="00A80760"/>
    <w:rsid w:val="00A81885"/>
    <w:rsid w:val="00A833DB"/>
    <w:rsid w:val="00A85030"/>
    <w:rsid w:val="00A9647C"/>
    <w:rsid w:val="00AA17EC"/>
    <w:rsid w:val="00AA4C7D"/>
    <w:rsid w:val="00AB2ADE"/>
    <w:rsid w:val="00AB4652"/>
    <w:rsid w:val="00AC5DC4"/>
    <w:rsid w:val="00AC6F92"/>
    <w:rsid w:val="00AD00D8"/>
    <w:rsid w:val="00AD1EAB"/>
    <w:rsid w:val="00AD1F00"/>
    <w:rsid w:val="00AD283D"/>
    <w:rsid w:val="00AD2AF6"/>
    <w:rsid w:val="00AD6EBB"/>
    <w:rsid w:val="00AE4118"/>
    <w:rsid w:val="00AE4481"/>
    <w:rsid w:val="00AE63B9"/>
    <w:rsid w:val="00AF2E29"/>
    <w:rsid w:val="00B01600"/>
    <w:rsid w:val="00B03C0E"/>
    <w:rsid w:val="00B03FF6"/>
    <w:rsid w:val="00B04259"/>
    <w:rsid w:val="00B06335"/>
    <w:rsid w:val="00B110A4"/>
    <w:rsid w:val="00B11BF8"/>
    <w:rsid w:val="00B139B4"/>
    <w:rsid w:val="00B142D3"/>
    <w:rsid w:val="00B17AAD"/>
    <w:rsid w:val="00B2029B"/>
    <w:rsid w:val="00B20C5A"/>
    <w:rsid w:val="00B30CBD"/>
    <w:rsid w:val="00B3426B"/>
    <w:rsid w:val="00B41AAD"/>
    <w:rsid w:val="00B43774"/>
    <w:rsid w:val="00B440C2"/>
    <w:rsid w:val="00B50EEE"/>
    <w:rsid w:val="00B56D98"/>
    <w:rsid w:val="00B707B1"/>
    <w:rsid w:val="00B72E17"/>
    <w:rsid w:val="00B7485B"/>
    <w:rsid w:val="00B7633A"/>
    <w:rsid w:val="00B7779B"/>
    <w:rsid w:val="00B80269"/>
    <w:rsid w:val="00B82ABA"/>
    <w:rsid w:val="00B83F7F"/>
    <w:rsid w:val="00B85531"/>
    <w:rsid w:val="00B94198"/>
    <w:rsid w:val="00BA18BE"/>
    <w:rsid w:val="00BA61DE"/>
    <w:rsid w:val="00BA6BAA"/>
    <w:rsid w:val="00BB15B4"/>
    <w:rsid w:val="00BB30A8"/>
    <w:rsid w:val="00BB40B1"/>
    <w:rsid w:val="00BB4BF0"/>
    <w:rsid w:val="00BB5253"/>
    <w:rsid w:val="00BC5C54"/>
    <w:rsid w:val="00BD3086"/>
    <w:rsid w:val="00BD3891"/>
    <w:rsid w:val="00BD3D77"/>
    <w:rsid w:val="00BD57E7"/>
    <w:rsid w:val="00BE2541"/>
    <w:rsid w:val="00BE40B4"/>
    <w:rsid w:val="00BF1986"/>
    <w:rsid w:val="00BF23F8"/>
    <w:rsid w:val="00C04BCA"/>
    <w:rsid w:val="00C10011"/>
    <w:rsid w:val="00C2028B"/>
    <w:rsid w:val="00C2159B"/>
    <w:rsid w:val="00C24508"/>
    <w:rsid w:val="00C247DC"/>
    <w:rsid w:val="00C27EAE"/>
    <w:rsid w:val="00C429B2"/>
    <w:rsid w:val="00C46FAA"/>
    <w:rsid w:val="00C52681"/>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3034A"/>
    <w:rsid w:val="00D30447"/>
    <w:rsid w:val="00D338CD"/>
    <w:rsid w:val="00D368E4"/>
    <w:rsid w:val="00D40DBC"/>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F4EFC"/>
    <w:rsid w:val="00E036B6"/>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1F35"/>
    <w:rsid w:val="00EE3D87"/>
    <w:rsid w:val="00EF0B66"/>
    <w:rsid w:val="00EF3D0A"/>
    <w:rsid w:val="00EF464B"/>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71679"/>
    <w:rsid w:val="00F7551A"/>
    <w:rsid w:val="00F80BAF"/>
    <w:rsid w:val="00F8146A"/>
    <w:rsid w:val="00F87AF7"/>
    <w:rsid w:val="00F90315"/>
    <w:rsid w:val="00F90A89"/>
    <w:rsid w:val="00F90D85"/>
    <w:rsid w:val="00F922DB"/>
    <w:rsid w:val="00F94ACC"/>
    <w:rsid w:val="00F9584E"/>
    <w:rsid w:val="00FA2E4B"/>
    <w:rsid w:val="00FA40BA"/>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189E7-BE50-4F4E-ABB8-152A841E7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1405</Words>
  <Characters>228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dc:creator>相模原市役所</dc:creator>
  <cp:lastModifiedBy>鈴木 愛香</cp:lastModifiedBy>
  <cp:revision>2</cp:revision>
  <cp:lastPrinted>2021-11-20T00:45:00Z</cp:lastPrinted>
  <dcterms:created xsi:type="dcterms:W3CDTF">2021-12-01T06:44:00Z</dcterms:created>
  <dcterms:modified xsi:type="dcterms:W3CDTF">2021-12-01T06:44:00Z</dcterms:modified>
</cp:coreProperties>
</file>